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67</w:t>
      </w:r>
    </w:p>
    <w:p>
      <w:r>
        <w:t>Bundesgericht (BGE), 1967-02-17, DE</w:t>
      </w:r>
    </w:p>
    <w:p>
      <w:r>
        <w:rPr>
          <w:b/>
        </w:rPr>
        <w:t xml:space="preserve">Quelle: </w:t>
      </w:r>
      <w:r>
        <w:t>https://mcp.opencaselaw.ch/entscheid/bge_93 I 67</w:t>
      </w:r>
    </w:p>
    <w:p>
      <w:r>
        <w:t>FR: ATF 93 I 67</w:t>
      </w:r>
    </w:p>
    <w:p>
      <w:r>
        <w:t>IT: DTF 93 I 67</w:t>
      </w:r>
    </w:p>
    <w:p>
      <w:pPr>
        <w:pStyle w:val="Heading2"/>
      </w:pPr>
      <w:r>
        <w:t>Regeste</w:t>
      </w:r>
    </w:p>
    <w:p>
      <w:r>
        <w:t>Regeste Vermögensrechtliche Ansprüche eines vom Bundesrat entlassenen Mitglieds der Landesverteidigungskommission. 1. Zuständigkeit des Bundesgerichts als einziger Instanz nach Art. 110 und 112 OG (Erw. 1). 2. Bis wann hat der Kläger nach Art. 22 und 23 des BRB über den Flugdienst der Fliegertruppen vom 30. Dezember 1958 Anspruch auf Entschädigung für das Flugtraining? (Erw. 2). 3. Dem Kläger können die in Art. 9 Abs. 4 der Verordnung über die Rechtsstellung der Mitglieder der Landesverteidigungskommission vom 21. November 1961 vorgesehenen Zusatzleistungen nicht gewährt werden, da er nach einer besonderen Übergangsbestimmung dieser Verordnung im Beamtenverhältnis stand (Erw. 3). 4. Der Anspruch des Klägers auf Genugtuung nach Art. 6 Abs. 2 des Verantwortlichkeitsgesetzes ist unbegründet, weil die Rechtmässigkeit der Entlassungsverfügung gemäss Art. 12 dieses Gesetzes im Verantwortlichkeitsverfahren nicht überprüft werden kann und weder die Art der Mitteilung der sofortigen Dienstenthebung an den Betroffenen noch deren Bekanntgabe im Parlament und im Rundspruch widerrechtlich ist (Erw. 4).</w:t>
      </w:r>
    </w:p>
    <w:p>
      <w:pPr>
        <w:pStyle w:val="Heading2"/>
      </w:pPr>
      <w:r>
        <w:t>Erwägungen</w:t>
      </w:r>
    </w:p>
    <w:p>
      <w:r>
        <w:rPr>
          <w:b/>
        </w:rPr>
        <w:t>E. 1</w:t>
      </w:r>
    </w:p>
    <w:p>
      <w:r>
        <w:t>Die Klagebegehren 2 und 3 betreffen vermögensrechtliche Ansprüche des Klägers gegen die Eidgenossenschaft aus seinem Beamtenverhältnis bzw. seiner Stellung als Mitglied der Landesverteidigungskommission und aus dem Verantwortlichkeitsgesetz. Sie sind nach Art. 110 OG und Art. 10 VG vom Bundesgericht als einziger Instanz zu beurteilen. Mit Bezug aus das Klagebegehren 1 hat die Beklagte zunächst die Zuständigkeit des Bundesgerichts bezweifelt mit der Begründung, es handle sich hier nicht um eine beamtenrechtliche, sondern um eine militärische Streitigkeit, die im Verfahren nach Art. 126 Abs. 2 lit. e und Art. 130 des BB über die Verwaltung der schweizerischen Armee vom 30. März 1949/13. Oktober 1965, in letzter Instanz von der Rekurskommission der Eidg. Militärverwaltung, zu beurteilen sei. Diese Frage braucht nicht entschieden zu werden, nachdem sich die Beklagte schliesslich mit der prozessökonomisch gebotenen Lösung, dass dieses Klagebegehren gemeinsam mit den anderen durch das Bundesgericht beurteilt wird, einverstanden erklärt hat. Es liegt eine Prorogation im Sinne des Art. 112 OG vor. Sie ist zulässig, da der Streitwert bei Zusammenrechnung aller in der Klage geltend gemachten Ansprüche (vgl. Art. 47 OG ) mehr als Fr. 20'000.-- beträgt.</w:t>
      </w:r>
    </w:p>
    <w:p>
      <w:r>
        <w:rPr>
          <w:b/>
        </w:rPr>
        <w:t>E. 2</w:t>
      </w:r>
    </w:p>
    <w:p>
      <w:r>
        <w:t>Das Klagebegehren 1 betrifft die Entschädigung für das Flugtraining nach Art. 22 Flugdienst-BRB. Diese wird (im Gegensatz zu der jährlichen Entschädigung für ausserordentliche Dienstleistungen nach Art. 24, die der Kläger für das ganze Jahr 1964 erhalten hat) monatlich ausgerichtet. Art. 23 enthält Vorschriften für Fälle der Einstellung des Flugdienstes im Laufe des Jahres. Gemäss Abs. 1 am Ende wird bei Einstellung im Flugdienst nach Art. 16 der eventuell noch angebrochene Monat voll entschädigt. Die Absätze 4 und 5 bestimmen, dass bei vorläufiger Einstellung im Flugdienst aus medizinischen Gründen sowie bei vorübergehendem Unterbruch des Flugtrainings infolge Auslandaufenthalts von nicht mehr als sechs BGE 93 I 67 S. 72 Monaten unter Beibehaltung des Wohnsitzes in der Schweiz die Entschädigung für den angebrochenen Monat und ausserdem einmal im Jahr höchstens noch für die zwei folgenden Monate ausgerichtet wird. Für andere als die in den Absätzen 4 und 5 genannten Fälle sieht Art. 23 nicht vor, dass die Entschädigung auch für die zwei Monate, die dem angebrochenen Monat folgen, gewährt werden kann. Der Kläger ist weder aus medizinischen Gründen noch wegen vorübergehenden Auslandaufenthalts im Flugdienst eingestellt worden. Er macht jedoch geltend, die in Art. 23 Abs. 4 und 5 Flugdienst-BRB getroffene Ordnung sei in seinem Falle analog anwendbar; denn bei unbegründeter Einstellung im Amte sei ein Anspruch auf Entschädigung für die dort vorgesehene Dauer erst recht gerechtfertigt. Dieser Auffassung kann nicht zugestimmt werden. Die Absätze 4 und 5 des Art. 23 betreffen besondere Fälle, in denen von vornherein feststeht oder zum mindesten vorausgesetzt wird, dass das Flugtraining nicht endgültig eingestellt, sondern lediglich unterbrochen wird. Hier verhält es sich jedoch anders; denn der Kläger ist durch die Verfügung des Bundesrates vom 6. Oktober 1964 nicht nur für eine bestimmte Zeit im Amte eingestellt, sondern zugleich endgültig daraus entlassen und damit auch endgültig im Flugdienst eingestellt worden. In einem solchen Fall ist nach der allgemeinen Regel, die Art. 23 Abs. 1 am Ende Flugdienst-BRB aufstellt, die Entschädigung lediglich noch für den angebrochenen Monat geschuldet. Diese Bestimmung verweist auf Art. 16, wonach der Waffenchef aus den dort angeführten Gründen Flieger im Flugdienst einstellen kann. Art. 16 ist analog anwendbar, wenn der Waffenchef selber von der vorgesetzten Behörde, dem Bundesrat, aus einem dieser Gründe im Flugdienst eingestellt wird. Das ist hier geschehen: Der Kläger wurde vom Bundesrat im Flugdienst eingestellt, weil keine militärische Notwendigkeit mehr bestand, dass er weiterhin diesem Dienst obliege (Art. 16 lit. e). Der Kläger hat daher allerdings - entgegen dem Standpunkt der Beklagten - noch Anspruch auf die Trainingsentschädigung für den Monat Oktober 1964, der im Zeitpunkt seiner Einstellung im Flugdienst angebrochen war. Dagegen ist der für die zwei folgenden Monate erhobene Anspruch unbegründet. Die Trainingsentschädigung, die für die hier massgebende Kategorie Fr. 500. - im Monat ausmacht (Art. 22 Flugdienst-BRB), ist somit nur in diesem Betrage zuzusprechen. BGE 93 I 67 S. 73</w:t>
      </w:r>
    </w:p>
    <w:p>
      <w:r>
        <w:rPr>
          <w:b/>
        </w:rPr>
        <w:t>E. 3</w:t>
      </w:r>
    </w:p>
    <w:p>
      <w:r>
        <w:t>Nach Art. 9 Abs. 4 RStV, worauf das Klagebegehren 2 gestützt wird, kann der Bundesrat Mitgliedern der Landesverteidigungskommission, sofern sie ohne eigenes Verschulden gemäss Art. 4 entlassen werden, im Anschluss an die Entlassung für drei Jahre (jedoch längstens bis zur Erreichung des 65. Altersjahres) eine Zusatzleistung gewähren, die dem Unterschied zwischen der Pension (Invalidenrente der Eidg. Versicherungskasse, gegebenenfalls in Verbindung mit einer Zusatzrente gemäss Instruktorenordnung) und dem bis anhin ausgerichteten Gehalt (Jahresentschädigung gemäss Art. 8) entspricht. Art. 4 gibt dem Bundesrat die Möglichkeit, Mitglieder der Landesverteidigungskommission jederzeit (nach Anhören der Kommission) zu entlassen. Den unter diese Bestimmung fallenden Offizieren ist also - im Gegensatz zu den Beamten - nicht eine feste Amtsdauer garantiert. Die Zusatzleistung soll einerseits einen Ausgleich für diese Unsicherheit ihrer Stellung schaffen und anderseits dem Bundesrat erleichtern, von der Möglichkeit der jederzeitigen Entlassung Gebrauch zu machen. Der Kläger ist jedoch nicht auf Grund des Art. 4 RStV entlassen worden. Diese Bestimmung konnte ihm gegenüber vor Ende 1964 gar nicht angewendet werden, weil er bis dahin nach der Übergangsbestimmung des Art. 13 Abs. 1 RStV dem Beamtengesetz unterstand, d.h. die Garantie der Amtsdauer genoss, die für ihn letztmals Ende 1964 ablief. Tatsächlich ist er erst auf das Ende dieser letzten Amtsdauer entlassen worden und hat er bis zu diesem Zeitpunkt auch sein Gehalt bezogen. Die Garantie der Amtsdauer, die er bis Ende 1964 besass, schliesst es aus, dass ihm die Zusatzleistungen gewährt werden, die er auf Grund des Art. 9 Abs. 4 RStV für die Jahre 1965, 1966 und 1967 beansprucht. Daran ändert es nichts, dass er vom 1. Januar 1965 an ohnehin nicht mehr in Beamteneigenschaft Mitglied der Landesverteidigungskommission hätte bleiben können. Entscheidend ist, dass er bis Ende 1964 mit einer festen Amtsdauer rechnen konnte, sich also bis dahin, im Gegensatz zu den übrigen Mitgliedern der Landesverteidigungskommission, nicht in der unsicheren Stellung befand, welche nach Art. 9 Abs. 4 RStV Voraussetzung des Zuspruchs von Zusatzleistungen ist.</w:t>
      </w:r>
    </w:p>
    <w:p>
      <w:r>
        <w:rPr>
          <w:b/>
        </w:rPr>
        <w:t>E. 4</w:t>
      </w:r>
    </w:p>
    <w:p>
      <w:r>
        <w:t>Das Klagebegehren 3, mit welchem eine vom Gericht zu bestimmende Genugtuung verlangt wird, stützt sich auf das Verantwortlichkeitsgesetz. Nach Art. 6 Abs. 2 in Verbindung mit Art. 3 dieses Gesetzes hat Anspruch gegen den Bund auf BGE 93 I 67 S. 74 Genugtuung, wer in seinen persönlichen Verhältnissen durch ein widerrechtliches und schuldhaftes Verhalten eines Bundesbeamten verletzt wird, sofern die Verletzung und das Verschulden des Beamten besonders schwer sind. Bundesbeamte im Sinne des Verantwortlichkeitsgesetzes sind nach Art. 1. Abs. 1 lit. b auch die Mitglieder des Bundesrates. Der Kläger erachtet als widerrechtlich in erster Linie seine sofortige Einstellung im Dienst und seine Entlassung. Der Beschluss vom 6. Oktober 1964, mit dem der Bundesrat diese Massnahmen angeordnet hat, stellt eine Verfügung dar, die nicht durch ein Rechtsmittel angefochten werden kann, also formell rechtskräftig ist. Nach Art. 12 VG kann aber die Rechtmässigkeit einer solchen Verfügung nicht in einem Verantwortlichkeitsverfahren überprüft werden. Ist somit die erwähnte Verfügung des Bundesrates vom 6. Oktober 1964 im Verantwortlichkeitsprozess als rechtmässig anzusehen, so erweist sich der Genugtuungsanspruch des Klägers insoweit, als er auf die behauptete Widerrechtlichkeit dieser Verfügung gestützt wird, ohne weiteres als unbegründet. Sodann macht der Kläger geltend, widerrechtlich sei auch die Bekanntgabe seiner sofortigen Dienstenthebung im Parlament und im schweizerischen Radio sowie die Art der Mitteilung an ihn, nämlich durch das Telephon während einer von ihm vorgenommenen Inspektion. Indessen könnten diese Handlungen nur dann als widerrechtlich betrachtet werden, wenn der Bundesrat damit gegen seine Amtspflichten verstossen oder sein Ermessen missbraucht hätte (vgl. BGE 91 I 455 Erw. 5 c). Das ist jedoch offensichtlich nicht der Fall. Der Bundesrat musste vor dem Ständerat, der in der kritischen Zeit über die Anträge der parlamentarischen Arbeitsgemeinschaft in der Mirage-Angelegenheit beriet, am 7. Oktober 1964 hiezu Stellung nehmen und dabei auch die soeben gegenüber dem Kläger getroffene Verfügung bekanntgeben. Dazu war er auf Grund seiner politischen Verantwortlichkeit gegenüber dem Parlament verpflichtet. Aber auch die Öffentlichkeit hatte ein berechtigtes Interesse daran, über den Stand der Mirage-Angelegenheit, die von grosser staatspolitischer Bedeutung war und allgemeines Aufsehen erregte, laufend aufgeklärt zu werden. Es war daher gegeben, dass die Enthebung des Klägers von seinem Amte auch der Bevölkerung, durch das Mittel des Rundspruchs und der Presse, unverzüglich mitgeteilt wurde. Gegenüber BGE 93 I 67 S. 75 dem Interesse der Öffentlichkeit hieran hatten die privaten Interessen des Klägers zurückzutreten. Die sofortige Dienstenthebung musste indessen vorab dem Kläger selber eröffnet werden. Es war richtig, dass dies geschah, bevor die Massnahme allgemein bekannt wurde; denn es wäre für den Kläger besonders stossend gewesen, wenn ihm die Nachricht zuerst durch den Rundspruch oder die Presse zugetragen worden wäre. Es ist daher verständlich, dass der Weg der telephonischen Mitteilung gewählt wurde. Gewiss kann man sich fragen, ob nicht ein etwas weniger brüskes Vorgehen angezeigt gewesen wäre. Aber geradezu widerrechtlich ist die telephonische Eröffnung nicht. Sie ist es umsoweniger, als sie den Kläger nicht ganz unvorbereitet traf; war ihm doch kurz vorher nahegelegt worden, sein Amt zur Verfügung zu stellen. Der Genugtuungsanspruch des Klägers ist somit im vollen Umfange schon deshalb unbegründet, weil den Mitgliedern des Bundesrates nicht ein widerrechtliches Handeln zur Last gelegt werden kann.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